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73" w:rsidRDefault="001C2873" w:rsidP="001C2873">
      <w:pPr>
        <w:ind w:left="-567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6C3488" wp14:editId="5B2817E7">
            <wp:simplePos x="0" y="0"/>
            <wp:positionH relativeFrom="column">
              <wp:posOffset>1233254</wp:posOffset>
            </wp:positionH>
            <wp:positionV relativeFrom="paragraph">
              <wp:posOffset>0</wp:posOffset>
            </wp:positionV>
            <wp:extent cx="2932430" cy="1409065"/>
            <wp:effectExtent l="0" t="0" r="1270" b="635"/>
            <wp:wrapSquare wrapText="bothSides"/>
            <wp:docPr id="1" name="Picture 1" descr="cid:image001.png@01D33EB5.4861D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3EB5.4861D49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873" w:rsidRDefault="001C2873" w:rsidP="001C2873">
      <w:pPr>
        <w:ind w:left="-567"/>
        <w:jc w:val="center"/>
      </w:pPr>
    </w:p>
    <w:p w:rsidR="001C2873" w:rsidRDefault="001C2873" w:rsidP="001C2873">
      <w:pPr>
        <w:ind w:left="-567"/>
      </w:pPr>
    </w:p>
    <w:p w:rsidR="001C2873" w:rsidRDefault="001C2873" w:rsidP="001C2873">
      <w:pPr>
        <w:ind w:left="-567"/>
      </w:pPr>
    </w:p>
    <w:p w:rsidR="001C2873" w:rsidRDefault="001C2873" w:rsidP="001C2873">
      <w:pPr>
        <w:ind w:left="-567"/>
      </w:pPr>
    </w:p>
    <w:p w:rsidR="001C2873" w:rsidRPr="007A6A2A" w:rsidRDefault="001C2873" w:rsidP="00A17476">
      <w:pPr>
        <w:ind w:left="-567"/>
        <w:jc w:val="center"/>
        <w:rPr>
          <w:b/>
        </w:rPr>
      </w:pPr>
      <w:r w:rsidRPr="007A6A2A">
        <w:rPr>
          <w:b/>
        </w:rPr>
        <w:t>AstraZeneca Webinar</w:t>
      </w:r>
    </w:p>
    <w:p w:rsidR="001C2873" w:rsidRPr="007A6A2A" w:rsidRDefault="001C2873" w:rsidP="00A17476">
      <w:pPr>
        <w:ind w:left="-567"/>
        <w:jc w:val="center"/>
        <w:rPr>
          <w:b/>
        </w:rPr>
      </w:pPr>
      <w:r w:rsidRPr="007A6A2A">
        <w:rPr>
          <w:b/>
        </w:rPr>
        <w:t>Friday 3</w:t>
      </w:r>
      <w:r w:rsidRPr="007A6A2A">
        <w:rPr>
          <w:b/>
          <w:vertAlign w:val="superscript"/>
        </w:rPr>
        <w:t>rd</w:t>
      </w:r>
      <w:r w:rsidRPr="007A6A2A">
        <w:rPr>
          <w:b/>
        </w:rPr>
        <w:t xml:space="preserve"> November, 2017</w:t>
      </w:r>
      <w:r w:rsidR="00A17476" w:rsidRPr="007A6A2A">
        <w:rPr>
          <w:b/>
        </w:rPr>
        <w:t xml:space="preserve"> </w:t>
      </w:r>
      <w:r w:rsidRPr="007A6A2A">
        <w:rPr>
          <w:b/>
        </w:rPr>
        <w:t xml:space="preserve">14:00 </w:t>
      </w:r>
      <w:r w:rsidR="00A17476" w:rsidRPr="007A6A2A">
        <w:rPr>
          <w:b/>
        </w:rPr>
        <w:t>–</w:t>
      </w:r>
      <w:r w:rsidRPr="007A6A2A">
        <w:rPr>
          <w:b/>
        </w:rPr>
        <w:t xml:space="preserve"> 1530</w:t>
      </w:r>
    </w:p>
    <w:p w:rsidR="00A17476" w:rsidRPr="007A6A2A" w:rsidRDefault="00A17476" w:rsidP="00A17476">
      <w:pPr>
        <w:ind w:left="-567"/>
        <w:jc w:val="center"/>
        <w:rPr>
          <w:b/>
        </w:rPr>
      </w:pPr>
      <w:r w:rsidRPr="007A6A2A">
        <w:rPr>
          <w:b/>
        </w:rPr>
        <w:t>Q&amp;A</w:t>
      </w:r>
    </w:p>
    <w:tbl>
      <w:tblPr>
        <w:tblStyle w:val="TableGrid"/>
        <w:tblW w:w="10060" w:type="dxa"/>
        <w:tblInd w:w="-289" w:type="dxa"/>
        <w:tblLook w:val="04A0" w:firstRow="1" w:lastRow="0" w:firstColumn="1" w:lastColumn="0" w:noHBand="0" w:noVBand="1"/>
      </w:tblPr>
      <w:tblGrid>
        <w:gridCol w:w="10060"/>
      </w:tblGrid>
      <w:tr w:rsidR="00A17476" w:rsidTr="007A6A2A">
        <w:tc>
          <w:tcPr>
            <w:tcW w:w="10060" w:type="dxa"/>
            <w:shd w:val="clear" w:color="auto" w:fill="D9D9D9" w:themeFill="background1" w:themeFillShade="D9"/>
          </w:tcPr>
          <w:p w:rsidR="00A17476" w:rsidRPr="007A6A2A" w:rsidRDefault="00A17476" w:rsidP="00A17476">
            <w:pPr>
              <w:ind w:left="170"/>
              <w:rPr>
                <w:b/>
                <w:sz w:val="20"/>
                <w:szCs w:val="20"/>
              </w:rPr>
            </w:pPr>
            <w:r w:rsidRPr="007A6A2A">
              <w:rPr>
                <w:b/>
                <w:sz w:val="20"/>
                <w:szCs w:val="20"/>
              </w:rPr>
              <w:t>AZD9150 – STAT3 antisense oligonucleotide</w:t>
            </w:r>
            <w:r w:rsidR="00994593" w:rsidRPr="007A6A2A">
              <w:rPr>
                <w:b/>
                <w:sz w:val="20"/>
                <w:szCs w:val="20"/>
              </w:rPr>
              <w:t xml:space="preserve"> – Esha Gangolli</w:t>
            </w:r>
          </w:p>
        </w:tc>
      </w:tr>
      <w:tr w:rsidR="0078094C" w:rsidTr="00A17476">
        <w:tc>
          <w:tcPr>
            <w:tcW w:w="10060" w:type="dxa"/>
          </w:tcPr>
          <w:p w:rsidR="0078094C" w:rsidRPr="007A6A2A" w:rsidRDefault="0078094C" w:rsidP="0078094C">
            <w:pPr>
              <w:ind w:left="170"/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 xml:space="preserve">NB: AZD9150 not available before Q4’2018 </w:t>
            </w:r>
          </w:p>
          <w:p w:rsidR="0078094C" w:rsidRPr="007A6A2A" w:rsidRDefault="0078094C" w:rsidP="0078094C">
            <w:pPr>
              <w:ind w:left="170"/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 xml:space="preserve">This will not pose a problem given the schedule, i.e., February 2018 workshop, May 2018 CRC submission, November 2018 CRC meeting, open trial by November 2019 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A17476" w:rsidP="00A17476">
            <w:p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Q. Do you know the sarcoma sub-type that responded to the combination? (Sandra Strauss)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A17476" w:rsidP="009A23E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Esha Gangol</w:t>
            </w:r>
            <w:r w:rsidR="001314D9">
              <w:rPr>
                <w:sz w:val="20"/>
                <w:szCs w:val="20"/>
              </w:rPr>
              <w:t>l</w:t>
            </w:r>
            <w:r w:rsidRPr="007A6A2A">
              <w:rPr>
                <w:sz w:val="20"/>
                <w:szCs w:val="20"/>
              </w:rPr>
              <w:t xml:space="preserve">i to follow up </w:t>
            </w:r>
            <w:r w:rsidR="00DE39F1">
              <w:rPr>
                <w:sz w:val="20"/>
                <w:szCs w:val="20"/>
              </w:rPr>
              <w:t xml:space="preserve">(Post-meeting response: </w:t>
            </w:r>
            <w:r w:rsidR="001314D9">
              <w:rPr>
                <w:sz w:val="20"/>
                <w:szCs w:val="20"/>
              </w:rPr>
              <w:t xml:space="preserve">We don’t have pathology yet to subtype the sarcoma. However, we know that it arose in a previously irradiated field. </w:t>
            </w:r>
            <w:r w:rsidR="00DE39F1">
              <w:rPr>
                <w:sz w:val="20"/>
                <w:szCs w:val="20"/>
              </w:rPr>
              <w:t>)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6339E1" w:rsidP="00131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Q. What are the </w:t>
            </w:r>
            <w:r w:rsidR="005F70D0" w:rsidRPr="006339E1">
              <w:rPr>
                <w:sz w:val="20"/>
                <w:szCs w:val="20"/>
              </w:rPr>
              <w:t>implication</w:t>
            </w:r>
            <w:r>
              <w:rPr>
                <w:sz w:val="20"/>
                <w:szCs w:val="20"/>
              </w:rPr>
              <w:t xml:space="preserve">s for </w:t>
            </w:r>
            <w:r w:rsidR="001314D9">
              <w:rPr>
                <w:sz w:val="20"/>
                <w:szCs w:val="20"/>
              </w:rPr>
              <w:t xml:space="preserve">inhibiting </w:t>
            </w:r>
            <w:r>
              <w:rPr>
                <w:sz w:val="20"/>
                <w:szCs w:val="20"/>
              </w:rPr>
              <w:t>STAT3 directly</w:t>
            </w:r>
            <w:r w:rsidR="001314D9">
              <w:rPr>
                <w:sz w:val="20"/>
                <w:szCs w:val="20"/>
              </w:rPr>
              <w:t xml:space="preserve"> in haematological malignancies</w:t>
            </w:r>
            <w:r>
              <w:rPr>
                <w:sz w:val="20"/>
                <w:szCs w:val="20"/>
              </w:rPr>
              <w:t xml:space="preserve">? </w:t>
            </w:r>
            <w:r w:rsidR="001F39FC" w:rsidRPr="006339E1">
              <w:rPr>
                <w:sz w:val="20"/>
                <w:szCs w:val="20"/>
              </w:rPr>
              <w:t>(</w:t>
            </w:r>
            <w:r w:rsidR="001F39FC">
              <w:rPr>
                <w:sz w:val="20"/>
                <w:szCs w:val="20"/>
              </w:rPr>
              <w:t>Oliver Ott</w:t>
            </w:r>
            <w:r w:rsidR="00A17476" w:rsidRPr="007A6A2A">
              <w:rPr>
                <w:sz w:val="20"/>
                <w:szCs w:val="20"/>
              </w:rPr>
              <w:t>ma</w:t>
            </w:r>
            <w:r w:rsidR="001F39FC">
              <w:rPr>
                <w:sz w:val="20"/>
                <w:szCs w:val="20"/>
              </w:rPr>
              <w:t>n</w:t>
            </w:r>
            <w:r w:rsidR="00A17476" w:rsidRPr="007A6A2A">
              <w:rPr>
                <w:sz w:val="20"/>
                <w:szCs w:val="20"/>
              </w:rPr>
              <w:t>n)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A17476" w:rsidP="00A1747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 xml:space="preserve">AZ don’t have the data </w:t>
            </w:r>
            <w:r w:rsidR="001314D9">
              <w:rPr>
                <w:sz w:val="20"/>
                <w:szCs w:val="20"/>
              </w:rPr>
              <w:t xml:space="preserve">beyond DLBCL </w:t>
            </w:r>
            <w:r w:rsidRPr="007A6A2A">
              <w:rPr>
                <w:sz w:val="20"/>
                <w:szCs w:val="20"/>
              </w:rPr>
              <w:t>to suggest it is not possible. It would be dependent on the trial and would need to investigate the mechanistic aspects.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A17476" w:rsidP="00DE39F1">
            <w:p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 xml:space="preserve">Q. What in-vitro work </w:t>
            </w:r>
            <w:r w:rsidR="00DE39F1">
              <w:rPr>
                <w:sz w:val="20"/>
                <w:szCs w:val="20"/>
              </w:rPr>
              <w:t xml:space="preserve">would need to </w:t>
            </w:r>
            <w:r w:rsidRPr="007A6A2A">
              <w:rPr>
                <w:sz w:val="20"/>
                <w:szCs w:val="20"/>
              </w:rPr>
              <w:t xml:space="preserve">be done </w:t>
            </w:r>
            <w:r w:rsidR="00DE39F1">
              <w:rPr>
                <w:sz w:val="20"/>
                <w:szCs w:val="20"/>
              </w:rPr>
              <w:t xml:space="preserve">for haematological indications </w:t>
            </w:r>
            <w:r w:rsidRPr="007A6A2A">
              <w:rPr>
                <w:sz w:val="20"/>
                <w:szCs w:val="20"/>
              </w:rPr>
              <w:t>or is it only human studies? (</w:t>
            </w:r>
            <w:r w:rsidR="001F39FC" w:rsidRPr="006339E1">
              <w:rPr>
                <w:sz w:val="20"/>
                <w:szCs w:val="20"/>
              </w:rPr>
              <w:t>Oliver Ottmann</w:t>
            </w:r>
            <w:r w:rsidRPr="006339E1">
              <w:rPr>
                <w:sz w:val="20"/>
                <w:szCs w:val="20"/>
              </w:rPr>
              <w:t>)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A17476" w:rsidP="00DE39F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 xml:space="preserve">Preclinical experiments </w:t>
            </w:r>
            <w:r w:rsidR="00DE39F1">
              <w:rPr>
                <w:sz w:val="20"/>
                <w:szCs w:val="20"/>
              </w:rPr>
              <w:t xml:space="preserve">to support mechanistic rationale </w:t>
            </w:r>
            <w:r w:rsidRPr="007A6A2A">
              <w:rPr>
                <w:sz w:val="20"/>
                <w:szCs w:val="20"/>
              </w:rPr>
              <w:t>would be great</w:t>
            </w:r>
            <w:r w:rsidR="00DE39F1">
              <w:rPr>
                <w:sz w:val="20"/>
                <w:szCs w:val="20"/>
              </w:rPr>
              <w:t>, if relevant</w:t>
            </w:r>
            <w:r w:rsidR="009A23E5">
              <w:rPr>
                <w:sz w:val="20"/>
                <w:szCs w:val="20"/>
              </w:rPr>
              <w:t xml:space="preserve"> </w:t>
            </w:r>
            <w:r w:rsidRPr="007A6A2A">
              <w:rPr>
                <w:sz w:val="20"/>
                <w:szCs w:val="20"/>
              </w:rPr>
              <w:t>models are available.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A17476" w:rsidP="00A17476">
            <w:p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Q. How do you detect uptake and which cells are targeted? (Martin Dyer)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7821F5" w:rsidP="009A23E5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Immunohistochemistry </w:t>
            </w:r>
            <w:r w:rsidR="00A17476" w:rsidRPr="007A6A2A">
              <w:rPr>
                <w:sz w:val="20"/>
                <w:szCs w:val="20"/>
              </w:rPr>
              <w:t xml:space="preserve">for oligonucleotide </w:t>
            </w:r>
            <w:r w:rsidR="001314D9">
              <w:rPr>
                <w:sz w:val="20"/>
                <w:szCs w:val="20"/>
              </w:rPr>
              <w:t>was performed in the limited number of paired biopsies from the lymphoma trial</w:t>
            </w:r>
            <w:r w:rsidR="00A17476" w:rsidRPr="007A6A2A">
              <w:rPr>
                <w:sz w:val="20"/>
                <w:szCs w:val="20"/>
              </w:rPr>
              <w:t>. Biopsy showed very little uptake in the tumour cells</w:t>
            </w:r>
            <w:r w:rsidR="001314D9">
              <w:rPr>
                <w:sz w:val="20"/>
                <w:szCs w:val="20"/>
              </w:rPr>
              <w:t xml:space="preserve"> at the tolerated doses</w:t>
            </w:r>
            <w:r w:rsidR="00A17476" w:rsidRPr="007A6A2A">
              <w:rPr>
                <w:sz w:val="20"/>
                <w:szCs w:val="20"/>
              </w:rPr>
              <w:t>. Uptake</w:t>
            </w:r>
            <w:r w:rsidR="001314D9">
              <w:rPr>
                <w:sz w:val="20"/>
                <w:szCs w:val="20"/>
              </w:rPr>
              <w:t xml:space="preserve"> was seen</w:t>
            </w:r>
            <w:r w:rsidR="00A17476" w:rsidRPr="007A6A2A">
              <w:rPr>
                <w:sz w:val="20"/>
                <w:szCs w:val="20"/>
              </w:rPr>
              <w:t xml:space="preserve"> in the stroma and e</w:t>
            </w:r>
            <w:r w:rsidR="001314D9">
              <w:rPr>
                <w:sz w:val="20"/>
                <w:szCs w:val="20"/>
              </w:rPr>
              <w:t>ndo</w:t>
            </w:r>
            <w:r w:rsidR="00A17476" w:rsidRPr="007A6A2A">
              <w:rPr>
                <w:sz w:val="20"/>
                <w:szCs w:val="20"/>
              </w:rPr>
              <w:t>thelium</w:t>
            </w:r>
            <w:r w:rsidR="001314D9">
              <w:rPr>
                <w:sz w:val="20"/>
                <w:szCs w:val="20"/>
              </w:rPr>
              <w:t xml:space="preserve">. Lymphoma blood samples also show </w:t>
            </w:r>
            <w:r>
              <w:rPr>
                <w:sz w:val="20"/>
                <w:szCs w:val="20"/>
              </w:rPr>
              <w:t>upregulation of several genes in the IFN</w:t>
            </w:r>
            <w:r w:rsidRPr="00504B59">
              <w:rPr>
                <w:rFonts w:ascii="Symbol" w:hAnsi="Symbol"/>
                <w:sz w:val="20"/>
                <w:szCs w:val="20"/>
              </w:rPr>
              <w:t></w:t>
            </w:r>
            <w:r>
              <w:rPr>
                <w:sz w:val="20"/>
                <w:szCs w:val="20"/>
              </w:rPr>
              <w:t xml:space="preserve"> signature, previously associated with response to checkpoint inhibition. </w:t>
            </w:r>
            <w:r w:rsidR="001314D9">
              <w:rPr>
                <w:sz w:val="20"/>
                <w:szCs w:val="20"/>
              </w:rPr>
              <w:t xml:space="preserve">Similar work is </w:t>
            </w:r>
            <w:r>
              <w:rPr>
                <w:sz w:val="20"/>
                <w:szCs w:val="20"/>
              </w:rPr>
              <w:t xml:space="preserve">ongoing in the SCCHN trial. </w:t>
            </w:r>
            <w:r w:rsidR="00A17476" w:rsidRPr="007A6A2A">
              <w:rPr>
                <w:sz w:val="20"/>
                <w:szCs w:val="20"/>
              </w:rPr>
              <w:t xml:space="preserve">. </w:t>
            </w:r>
            <w:r w:rsidR="001314D9">
              <w:rPr>
                <w:sz w:val="20"/>
                <w:szCs w:val="20"/>
              </w:rPr>
              <w:t>Preclinical experiments show that AZD9150 decreases</w:t>
            </w:r>
            <w:r w:rsidR="0078094C" w:rsidRPr="007A6A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arginase levels and </w:t>
            </w:r>
            <w:r w:rsidR="0078094C" w:rsidRPr="007A6A2A">
              <w:rPr>
                <w:sz w:val="20"/>
                <w:szCs w:val="20"/>
              </w:rPr>
              <w:t>CD163 macrophages in a number of different tumour types</w:t>
            </w:r>
            <w:r w:rsidR="001314D9">
              <w:rPr>
                <w:sz w:val="20"/>
                <w:szCs w:val="20"/>
              </w:rPr>
              <w:t xml:space="preserve">. 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78094C" w:rsidP="00A17476">
            <w:p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 xml:space="preserve">Q. Do you see much uptake in the reticuloendothelial cells? (Suzy Scholl) 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7821F5" w:rsidP="007821F5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Uptake is seen in endothelium, fibroblasts and infiltrating inflammatory cells of the tumo</w:t>
            </w:r>
            <w:r w:rsidR="009A23E5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 stroma</w:t>
            </w:r>
            <w:r w:rsidR="00DE39F1">
              <w:rPr>
                <w:sz w:val="20"/>
                <w:szCs w:val="20"/>
              </w:rPr>
              <w:t xml:space="preserve"> in DLBCL samples. We have not further typed these cells. </w:t>
            </w:r>
          </w:p>
        </w:tc>
      </w:tr>
      <w:tr w:rsidR="00A17476" w:rsidTr="007A6A2A">
        <w:tc>
          <w:tcPr>
            <w:tcW w:w="10060" w:type="dxa"/>
            <w:shd w:val="clear" w:color="auto" w:fill="D9D9D9" w:themeFill="background1" w:themeFillShade="D9"/>
          </w:tcPr>
          <w:p w:rsidR="00A17476" w:rsidRPr="007A6A2A" w:rsidRDefault="0078094C" w:rsidP="00A17476">
            <w:pPr>
              <w:rPr>
                <w:b/>
                <w:sz w:val="20"/>
                <w:szCs w:val="20"/>
              </w:rPr>
            </w:pPr>
            <w:r w:rsidRPr="007A6A2A">
              <w:rPr>
                <w:b/>
                <w:sz w:val="20"/>
                <w:szCs w:val="20"/>
              </w:rPr>
              <w:t>AZD0156 – ATM inhibitor</w:t>
            </w:r>
            <w:r w:rsidR="00994593" w:rsidRPr="007A6A2A">
              <w:rPr>
                <w:b/>
                <w:sz w:val="20"/>
                <w:szCs w:val="20"/>
              </w:rPr>
              <w:t xml:space="preserve"> – Andrew Reynolds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78094C" w:rsidP="00A17476">
            <w:p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Q. Are there any on</w:t>
            </w:r>
            <w:r w:rsidR="006339E1">
              <w:rPr>
                <w:sz w:val="20"/>
                <w:szCs w:val="20"/>
              </w:rPr>
              <w:t xml:space="preserve">going RT trials at the moment? 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78094C" w:rsidP="0078094C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No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78094C" w:rsidP="00F44039">
            <w:p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 xml:space="preserve">Q. </w:t>
            </w:r>
            <w:r w:rsidR="00F44039">
              <w:rPr>
                <w:sz w:val="20"/>
                <w:szCs w:val="20"/>
              </w:rPr>
              <w:t>For w</w:t>
            </w:r>
            <w:r w:rsidRPr="007A6A2A">
              <w:rPr>
                <w:sz w:val="20"/>
                <w:szCs w:val="20"/>
              </w:rPr>
              <w:t xml:space="preserve">indow of opportunity </w:t>
            </w:r>
            <w:r w:rsidR="00F44039">
              <w:rPr>
                <w:sz w:val="20"/>
                <w:szCs w:val="20"/>
              </w:rPr>
              <w:t xml:space="preserve">studies </w:t>
            </w:r>
            <w:r w:rsidRPr="007A6A2A">
              <w:rPr>
                <w:sz w:val="20"/>
                <w:szCs w:val="20"/>
              </w:rPr>
              <w:t xml:space="preserve">what biomarker </w:t>
            </w:r>
            <w:r w:rsidR="00F44039">
              <w:rPr>
                <w:sz w:val="20"/>
                <w:szCs w:val="20"/>
              </w:rPr>
              <w:t xml:space="preserve">would we use </w:t>
            </w:r>
            <w:r w:rsidRPr="007A6A2A">
              <w:rPr>
                <w:sz w:val="20"/>
                <w:szCs w:val="20"/>
              </w:rPr>
              <w:t xml:space="preserve">to </w:t>
            </w:r>
            <w:r w:rsidR="00F44039">
              <w:rPr>
                <w:sz w:val="20"/>
                <w:szCs w:val="20"/>
              </w:rPr>
              <w:t xml:space="preserve">monitor ATM </w:t>
            </w:r>
            <w:r w:rsidRPr="007A6A2A">
              <w:rPr>
                <w:sz w:val="20"/>
                <w:szCs w:val="20"/>
              </w:rPr>
              <w:t>inhibition</w:t>
            </w:r>
            <w:r w:rsidR="00F44039">
              <w:rPr>
                <w:sz w:val="20"/>
                <w:szCs w:val="20"/>
              </w:rPr>
              <w:t>?</w:t>
            </w:r>
            <w:r w:rsidRPr="007A6A2A">
              <w:rPr>
                <w:sz w:val="20"/>
                <w:szCs w:val="20"/>
              </w:rPr>
              <w:t xml:space="preserve"> (Carlo Palmieri)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78094C" w:rsidP="0078094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AZ able to share this information under CDA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78094C" w:rsidP="00A17476">
            <w:p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Q. You mentioned ARID1A as a biomarker, what about ARID1B or 2? (Suzy Scholl)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78094C" w:rsidP="0078094C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 xml:space="preserve">Expected to confer if hypothesis stands up. Defects in pathways involved in DNA repair 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994593" w:rsidP="00994593">
            <w:p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Q. Ph</w:t>
            </w:r>
            <w:r w:rsidR="00F06140">
              <w:rPr>
                <w:sz w:val="20"/>
                <w:szCs w:val="20"/>
              </w:rPr>
              <w:t>1</w:t>
            </w:r>
            <w:r w:rsidRPr="007A6A2A">
              <w:rPr>
                <w:sz w:val="20"/>
                <w:szCs w:val="20"/>
              </w:rPr>
              <w:t xml:space="preserve"> trial has been going for 2 years – have you seen toxicity as a single agent? (Martin Dyer)</w:t>
            </w:r>
          </w:p>
        </w:tc>
      </w:tr>
      <w:tr w:rsidR="00994593" w:rsidTr="00A17476">
        <w:tc>
          <w:tcPr>
            <w:tcW w:w="10060" w:type="dxa"/>
          </w:tcPr>
          <w:p w:rsidR="00994593" w:rsidRPr="007A6A2A" w:rsidRDefault="00994593" w:rsidP="0099459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Olaparib combination is currently in the dose escalation stage currently exploring the dose and schedule. RP2D is expected Q3’2018. The toxicity profile would be available under CDA.</w:t>
            </w:r>
          </w:p>
        </w:tc>
      </w:tr>
      <w:tr w:rsidR="00994593" w:rsidTr="007A6A2A">
        <w:tc>
          <w:tcPr>
            <w:tcW w:w="10060" w:type="dxa"/>
            <w:shd w:val="clear" w:color="auto" w:fill="D9D9D9" w:themeFill="background1" w:themeFillShade="D9"/>
          </w:tcPr>
          <w:p w:rsidR="00994593" w:rsidRPr="007A6A2A" w:rsidRDefault="00994593" w:rsidP="00A17476">
            <w:pPr>
              <w:rPr>
                <w:b/>
                <w:sz w:val="20"/>
                <w:szCs w:val="20"/>
              </w:rPr>
            </w:pPr>
            <w:r w:rsidRPr="007A6A2A">
              <w:rPr>
                <w:b/>
                <w:sz w:val="20"/>
                <w:szCs w:val="20"/>
              </w:rPr>
              <w:t>AZD6738 – ATR inhibitor – Simon Smith</w:t>
            </w:r>
          </w:p>
        </w:tc>
      </w:tr>
      <w:tr w:rsidR="00994593" w:rsidTr="00A17476">
        <w:tc>
          <w:tcPr>
            <w:tcW w:w="10060" w:type="dxa"/>
          </w:tcPr>
          <w:p w:rsidR="00994593" w:rsidRPr="007A6A2A" w:rsidRDefault="00994593" w:rsidP="00A17476">
            <w:p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Q. Would you expect ATM mutation in these tumours? (Rille Pihlak)</w:t>
            </w:r>
          </w:p>
        </w:tc>
      </w:tr>
      <w:tr w:rsidR="00994593" w:rsidTr="00A17476">
        <w:tc>
          <w:tcPr>
            <w:tcW w:w="10060" w:type="dxa"/>
          </w:tcPr>
          <w:p w:rsidR="00994593" w:rsidRPr="007A6A2A" w:rsidRDefault="00994593" w:rsidP="0099459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This is one of the areas AZ are looking at</w:t>
            </w:r>
          </w:p>
        </w:tc>
      </w:tr>
      <w:tr w:rsidR="00994593" w:rsidTr="00A17476">
        <w:tc>
          <w:tcPr>
            <w:tcW w:w="10060" w:type="dxa"/>
          </w:tcPr>
          <w:p w:rsidR="00994593" w:rsidRPr="007A6A2A" w:rsidRDefault="00994593" w:rsidP="00A17476">
            <w:p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Q. What is the lowest age of study entry you would consider? (Sandra Strauss)</w:t>
            </w:r>
          </w:p>
        </w:tc>
      </w:tr>
      <w:tr w:rsidR="00994593" w:rsidTr="00A17476">
        <w:tc>
          <w:tcPr>
            <w:tcW w:w="10060" w:type="dxa"/>
          </w:tcPr>
          <w:p w:rsidR="00994593" w:rsidRPr="007A6A2A" w:rsidRDefault="00994593" w:rsidP="00994593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Usually 18+. AZ need to clarify.</w:t>
            </w:r>
          </w:p>
        </w:tc>
      </w:tr>
      <w:tr w:rsidR="00994593" w:rsidTr="007A6A2A">
        <w:tc>
          <w:tcPr>
            <w:tcW w:w="10060" w:type="dxa"/>
            <w:shd w:val="clear" w:color="auto" w:fill="D9D9D9" w:themeFill="background1" w:themeFillShade="D9"/>
          </w:tcPr>
          <w:p w:rsidR="00994593" w:rsidRPr="007A6A2A" w:rsidRDefault="00994593" w:rsidP="00A17476">
            <w:pPr>
              <w:rPr>
                <w:b/>
                <w:sz w:val="20"/>
                <w:szCs w:val="20"/>
              </w:rPr>
            </w:pPr>
            <w:r w:rsidRPr="007A6A2A">
              <w:rPr>
                <w:b/>
                <w:sz w:val="20"/>
                <w:szCs w:val="20"/>
              </w:rPr>
              <w:t>Acalabrutinib – BTK inhibitor – Edwin Clark</w:t>
            </w:r>
          </w:p>
        </w:tc>
      </w:tr>
      <w:tr w:rsidR="00994593" w:rsidTr="00A17476">
        <w:tc>
          <w:tcPr>
            <w:tcW w:w="10060" w:type="dxa"/>
          </w:tcPr>
          <w:p w:rsidR="00994593" w:rsidRPr="007A6A2A" w:rsidRDefault="00994593" w:rsidP="00895241">
            <w:p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 xml:space="preserve">NB: recently received accelerated approval for </w:t>
            </w:r>
            <w:r w:rsidR="00895241">
              <w:rPr>
                <w:sz w:val="20"/>
                <w:szCs w:val="20"/>
              </w:rPr>
              <w:t>MCL(mantle cell lymphoma)</w:t>
            </w:r>
          </w:p>
        </w:tc>
      </w:tr>
      <w:tr w:rsidR="00994593" w:rsidTr="007A6A2A">
        <w:tc>
          <w:tcPr>
            <w:tcW w:w="10060" w:type="dxa"/>
            <w:shd w:val="clear" w:color="auto" w:fill="D9D9D9" w:themeFill="background1" w:themeFillShade="D9"/>
          </w:tcPr>
          <w:p w:rsidR="00994593" w:rsidRPr="007A6A2A" w:rsidRDefault="00994593" w:rsidP="00A17476">
            <w:pPr>
              <w:rPr>
                <w:b/>
                <w:sz w:val="20"/>
                <w:szCs w:val="20"/>
              </w:rPr>
            </w:pPr>
            <w:r w:rsidRPr="007A6A2A">
              <w:rPr>
                <w:b/>
                <w:sz w:val="20"/>
                <w:szCs w:val="20"/>
              </w:rPr>
              <w:t>Durvalumab (IMFINZI) – anti-PD-L1 – Asud Khaliq</w:t>
            </w:r>
          </w:p>
        </w:tc>
      </w:tr>
      <w:tr w:rsidR="00994593" w:rsidTr="00A17476">
        <w:tc>
          <w:tcPr>
            <w:tcW w:w="10060" w:type="dxa"/>
          </w:tcPr>
          <w:p w:rsidR="00994593" w:rsidRPr="007A6A2A" w:rsidRDefault="00994593" w:rsidP="00A17476">
            <w:p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Q. Do AZ have any interest in Glioma? (Matt Williams)</w:t>
            </w:r>
          </w:p>
        </w:tc>
      </w:tr>
      <w:tr w:rsidR="00994593" w:rsidTr="00A17476">
        <w:tc>
          <w:tcPr>
            <w:tcW w:w="10060" w:type="dxa"/>
          </w:tcPr>
          <w:p w:rsidR="00994593" w:rsidRPr="007A6A2A" w:rsidRDefault="00994593" w:rsidP="007A6A2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Glioma is not high on the radar; not high but not low priority and therefor</w:t>
            </w:r>
            <w:r w:rsidR="007A6A2A" w:rsidRPr="007A6A2A">
              <w:rPr>
                <w:sz w:val="20"/>
                <w:szCs w:val="20"/>
              </w:rPr>
              <w:t>e would consider a EOI with strong scientific rationale</w:t>
            </w:r>
          </w:p>
        </w:tc>
      </w:tr>
      <w:tr w:rsidR="00994593" w:rsidTr="00A17476">
        <w:tc>
          <w:tcPr>
            <w:tcW w:w="10060" w:type="dxa"/>
          </w:tcPr>
          <w:p w:rsidR="00994593" w:rsidRPr="007A6A2A" w:rsidRDefault="007A6A2A" w:rsidP="00A17476">
            <w:p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Q. Would AZ consider relapsed Glioma; rear radiation + X? (Matt Williams)</w:t>
            </w:r>
          </w:p>
        </w:tc>
      </w:tr>
      <w:tr w:rsidR="00A17476" w:rsidTr="00A17476">
        <w:tc>
          <w:tcPr>
            <w:tcW w:w="10060" w:type="dxa"/>
          </w:tcPr>
          <w:p w:rsidR="00A17476" w:rsidRPr="007A6A2A" w:rsidRDefault="007A6A2A" w:rsidP="007A6A2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lastRenderedPageBreak/>
              <w:t xml:space="preserve">Very much of interest. RT plays a fundamental role in changing the tumour microenvironment and would be worth considering </w:t>
            </w:r>
          </w:p>
        </w:tc>
      </w:tr>
      <w:tr w:rsidR="007A6A2A" w:rsidTr="00A17476">
        <w:tc>
          <w:tcPr>
            <w:tcW w:w="10060" w:type="dxa"/>
          </w:tcPr>
          <w:p w:rsidR="007A6A2A" w:rsidRPr="007A6A2A" w:rsidRDefault="007A6A2A" w:rsidP="00A17476">
            <w:p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Q. Would AZ consider cancers of unknown</w:t>
            </w:r>
            <w:r w:rsidR="006339E1">
              <w:rPr>
                <w:sz w:val="20"/>
                <w:szCs w:val="20"/>
              </w:rPr>
              <w:t xml:space="preserve"> primary with chemo +/- Durva?</w:t>
            </w:r>
          </w:p>
        </w:tc>
      </w:tr>
      <w:tr w:rsidR="007A6A2A" w:rsidTr="00A17476">
        <w:tc>
          <w:tcPr>
            <w:tcW w:w="10060" w:type="dxa"/>
          </w:tcPr>
          <w:p w:rsidR="007A6A2A" w:rsidRPr="007A6A2A" w:rsidRDefault="007A6A2A" w:rsidP="007A6A2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A6A2A">
              <w:rPr>
                <w:sz w:val="20"/>
                <w:szCs w:val="20"/>
              </w:rPr>
              <w:t>AZ have an ongoing ESR trial but would consider a proposal if scientifically sound</w:t>
            </w:r>
          </w:p>
        </w:tc>
      </w:tr>
    </w:tbl>
    <w:p w:rsidR="004208C7" w:rsidRDefault="004208C7" w:rsidP="001C2873">
      <w:pPr>
        <w:ind w:left="-567"/>
      </w:pPr>
    </w:p>
    <w:sectPr w:rsidR="004208C7" w:rsidSect="007A6A2A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05D6"/>
    <w:multiLevelType w:val="hybridMultilevel"/>
    <w:tmpl w:val="EC6EE86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7883"/>
    <w:multiLevelType w:val="hybridMultilevel"/>
    <w:tmpl w:val="6EBCA39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C478B"/>
    <w:multiLevelType w:val="hybridMultilevel"/>
    <w:tmpl w:val="CEFE98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00E0"/>
    <w:multiLevelType w:val="hybridMultilevel"/>
    <w:tmpl w:val="6872762A"/>
    <w:lvl w:ilvl="0" w:tplc="FD9E441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C11C0"/>
    <w:multiLevelType w:val="hybridMultilevel"/>
    <w:tmpl w:val="00EE11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73199"/>
    <w:multiLevelType w:val="hybridMultilevel"/>
    <w:tmpl w:val="BCF0B3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647F6"/>
    <w:multiLevelType w:val="hybridMultilevel"/>
    <w:tmpl w:val="2E6EBB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1419"/>
    <w:multiLevelType w:val="hybridMultilevel"/>
    <w:tmpl w:val="6F824F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34858"/>
    <w:multiLevelType w:val="hybridMultilevel"/>
    <w:tmpl w:val="FDE25C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A23DC"/>
    <w:multiLevelType w:val="hybridMultilevel"/>
    <w:tmpl w:val="AC469D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2080C"/>
    <w:multiLevelType w:val="hybridMultilevel"/>
    <w:tmpl w:val="4E1841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52915"/>
    <w:multiLevelType w:val="hybridMultilevel"/>
    <w:tmpl w:val="32065C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E69CC"/>
    <w:multiLevelType w:val="hybridMultilevel"/>
    <w:tmpl w:val="8E98CB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62BCE"/>
    <w:multiLevelType w:val="hybridMultilevel"/>
    <w:tmpl w:val="36C241C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04383"/>
    <w:multiLevelType w:val="hybridMultilevel"/>
    <w:tmpl w:val="5AEEC33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3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11"/>
  </w:num>
  <w:num w:numId="12">
    <w:abstractNumId w:val="9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73"/>
    <w:rsid w:val="001314D9"/>
    <w:rsid w:val="001C2873"/>
    <w:rsid w:val="001F39FC"/>
    <w:rsid w:val="002A7BEE"/>
    <w:rsid w:val="004208C7"/>
    <w:rsid w:val="00504B59"/>
    <w:rsid w:val="005E4629"/>
    <w:rsid w:val="005F70D0"/>
    <w:rsid w:val="006339E1"/>
    <w:rsid w:val="0078094C"/>
    <w:rsid w:val="007821F5"/>
    <w:rsid w:val="007A6A2A"/>
    <w:rsid w:val="00895241"/>
    <w:rsid w:val="00994593"/>
    <w:rsid w:val="009A23E5"/>
    <w:rsid w:val="00A17476"/>
    <w:rsid w:val="00AC2729"/>
    <w:rsid w:val="00B6443C"/>
    <w:rsid w:val="00DE39F1"/>
    <w:rsid w:val="00EA1212"/>
    <w:rsid w:val="00F06140"/>
    <w:rsid w:val="00F4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41DC3-23C8-4C0B-A51A-3926F578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7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349A0.002891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Cancer Research UK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Lyndall McLellan</dc:creator>
  <cp:keywords/>
  <dc:description/>
  <cp:lastModifiedBy>Alex Briggs</cp:lastModifiedBy>
  <cp:revision>2</cp:revision>
  <cp:lastPrinted>2017-11-08T09:13:00Z</cp:lastPrinted>
  <dcterms:created xsi:type="dcterms:W3CDTF">2017-11-16T14:41:00Z</dcterms:created>
  <dcterms:modified xsi:type="dcterms:W3CDTF">2017-11-16T14:41:00Z</dcterms:modified>
</cp:coreProperties>
</file>